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74FCA7" w14:textId="77777777" w:rsidR="003D4048" w:rsidRDefault="00000000">
      <w:pPr>
        <w:spacing w:after="100" w:line="259" w:lineRule="auto"/>
        <w:ind w:left="0" w:right="106" w:firstLine="0"/>
        <w:jc w:val="center"/>
      </w:pPr>
      <w:r>
        <w:rPr>
          <w:b/>
        </w:rPr>
        <w:t xml:space="preserve">A G R E </w:t>
      </w:r>
      <w:proofErr w:type="spellStart"/>
      <w:r>
        <w:rPr>
          <w:b/>
        </w:rPr>
        <w:t>E</w:t>
      </w:r>
      <w:proofErr w:type="spellEnd"/>
      <w:r>
        <w:rPr>
          <w:b/>
        </w:rPr>
        <w:t xml:space="preserve"> M E N T </w:t>
      </w:r>
    </w:p>
    <w:p w14:paraId="290D6205" w14:textId="77777777" w:rsidR="003D4048" w:rsidRDefault="00000000">
      <w:pPr>
        <w:spacing w:after="100" w:line="259" w:lineRule="auto"/>
        <w:ind w:left="2832" w:firstLine="0"/>
        <w:jc w:val="left"/>
      </w:pPr>
      <w:r>
        <w:rPr>
          <w:b/>
        </w:rPr>
        <w:t xml:space="preserve"> </w:t>
      </w:r>
    </w:p>
    <w:p w14:paraId="01761B02" w14:textId="3979A5EE" w:rsidR="003D4048" w:rsidRDefault="00000000">
      <w:pPr>
        <w:spacing w:after="92"/>
        <w:ind w:firstLine="0"/>
      </w:pPr>
      <w:r>
        <w:t xml:space="preserve">Today, </w:t>
      </w:r>
      <w:r w:rsidR="00041F3B">
        <w:t>September</w:t>
      </w:r>
      <w:r>
        <w:t xml:space="preserve"> </w:t>
      </w:r>
      <w:r w:rsidR="00041F3B">
        <w:rPr>
          <w:lang w:val="bg-BG"/>
        </w:rPr>
        <w:t>24</w:t>
      </w:r>
      <w:r>
        <w:t>, 202</w:t>
      </w:r>
      <w:r w:rsidR="00876C47">
        <w:t>4</w:t>
      </w:r>
      <w:r>
        <w:t xml:space="preserve"> </w:t>
      </w:r>
    </w:p>
    <w:p w14:paraId="2AF6D041" w14:textId="77777777" w:rsidR="003D4048" w:rsidRDefault="00000000">
      <w:pPr>
        <w:ind w:left="-15"/>
      </w:pPr>
      <w:r>
        <w:rPr>
          <w:b/>
        </w:rPr>
        <w:t xml:space="preserve">THE CENTRAL </w:t>
      </w:r>
      <w:r>
        <w:rPr>
          <w:b/>
          <w:color w:val="333333"/>
        </w:rPr>
        <w:t>ELECTION</w:t>
      </w:r>
      <w:r>
        <w:rPr>
          <w:rFonts w:ascii="Arial" w:eastAsia="Arial" w:hAnsi="Arial" w:cs="Arial"/>
          <w:color w:val="333333"/>
          <w:sz w:val="21"/>
        </w:rPr>
        <w:t xml:space="preserve"> </w:t>
      </w:r>
      <w:r>
        <w:rPr>
          <w:b/>
        </w:rPr>
        <w:t>COMMISSION</w:t>
      </w:r>
      <w:r>
        <w:t xml:space="preserve"> with its seat in Sofia, 1, Knyaz Aleksander R. square, chaired by </w:t>
      </w:r>
      <w:proofErr w:type="spellStart"/>
      <w:r>
        <w:rPr>
          <w:color w:val="333333"/>
        </w:rPr>
        <w:t>Kameliya</w:t>
      </w:r>
      <w:proofErr w:type="spellEnd"/>
      <w:r>
        <w:rPr>
          <w:color w:val="333333"/>
        </w:rPr>
        <w:t xml:space="preserve"> </w:t>
      </w:r>
      <w:proofErr w:type="spellStart"/>
      <w:r>
        <w:rPr>
          <w:color w:val="333333"/>
        </w:rPr>
        <w:t>Neykova</w:t>
      </w:r>
      <w:proofErr w:type="spellEnd"/>
      <w:r>
        <w:t xml:space="preserve"> and </w:t>
      </w:r>
    </w:p>
    <w:p w14:paraId="59A00DC0" w14:textId="1395DA2F" w:rsidR="003D4048" w:rsidRDefault="00000000">
      <w:pPr>
        <w:ind w:left="-15"/>
      </w:pPr>
      <w:r>
        <w:rPr>
          <w:b/>
        </w:rPr>
        <w:t>THE COUNCIL FOR ELECTRONIC MEDIA</w:t>
      </w:r>
      <w:r>
        <w:t xml:space="preserve"> with headquarters in Sofia, 69 </w:t>
      </w:r>
      <w:proofErr w:type="spellStart"/>
      <w:r>
        <w:t>Shipchenski</w:t>
      </w:r>
      <w:proofErr w:type="spellEnd"/>
      <w:r>
        <w:t xml:space="preserve"> </w:t>
      </w:r>
      <w:proofErr w:type="spellStart"/>
      <w:r>
        <w:t>Prohod</w:t>
      </w:r>
      <w:proofErr w:type="spellEnd"/>
      <w:r>
        <w:t xml:space="preserve"> Blvd. chaired by </w:t>
      </w:r>
      <w:r w:rsidR="00CC239E">
        <w:t xml:space="preserve">Gabriela </w:t>
      </w:r>
      <w:proofErr w:type="spellStart"/>
      <w:r w:rsidR="00CC239E">
        <w:t>Naplatanova</w:t>
      </w:r>
      <w:proofErr w:type="spellEnd"/>
      <w:r w:rsidR="00CC239E">
        <w:t xml:space="preserve">, PhD – </w:t>
      </w:r>
      <w:r w:rsidR="00C57CEB">
        <w:t>acting</w:t>
      </w:r>
      <w:r w:rsidR="00CC239E">
        <w:t xml:space="preserve"> chairperson</w:t>
      </w:r>
      <w:r>
        <w:t xml:space="preserve">:  </w:t>
      </w:r>
    </w:p>
    <w:p w14:paraId="6C3C76AC" w14:textId="77777777" w:rsidR="003D4048" w:rsidRDefault="00000000">
      <w:pPr>
        <w:numPr>
          <w:ilvl w:val="0"/>
          <w:numId w:val="1"/>
        </w:numPr>
      </w:pPr>
      <w:r>
        <w:t xml:space="preserve">guided by European principles and recommendations for coverage of information campaigns in the media and the European experience of election monitoring. </w:t>
      </w:r>
    </w:p>
    <w:p w14:paraId="66A186A3" w14:textId="77777777" w:rsidR="003D4048" w:rsidRDefault="00000000">
      <w:pPr>
        <w:numPr>
          <w:ilvl w:val="0"/>
          <w:numId w:val="1"/>
        </w:numPr>
      </w:pPr>
      <w:r>
        <w:t xml:space="preserve">emphasize the importance of responsible, objective, accurate and honest media </w:t>
      </w:r>
      <w:proofErr w:type="spellStart"/>
      <w:r>
        <w:t>behaviour</w:t>
      </w:r>
      <w:proofErr w:type="spellEnd"/>
      <w:r>
        <w:t xml:space="preserve">, respect for the good morals and human dignity of candidates. </w:t>
      </w:r>
    </w:p>
    <w:p w14:paraId="688471D9" w14:textId="56239865" w:rsidR="00C519C1" w:rsidRDefault="00C519C1">
      <w:pPr>
        <w:numPr>
          <w:ilvl w:val="0"/>
          <w:numId w:val="1"/>
        </w:numPr>
        <w:spacing w:after="0" w:line="372" w:lineRule="auto"/>
      </w:pPr>
      <w:r w:rsidRPr="00C519C1">
        <w:t xml:space="preserve">take into account the need to create the most </w:t>
      </w:r>
      <w:proofErr w:type="spellStart"/>
      <w:r w:rsidRPr="00C519C1">
        <w:t>favourable</w:t>
      </w:r>
      <w:proofErr w:type="spellEnd"/>
      <w:r w:rsidRPr="00C519C1">
        <w:t xml:space="preserve"> media environment in connection with the elections for Members of the National Assembly scheduled for </w:t>
      </w:r>
      <w:r w:rsidR="006C35D9">
        <w:t>27 October</w:t>
      </w:r>
      <w:r w:rsidRPr="00C519C1">
        <w:t xml:space="preserve"> 2024 and the campaign preceding </w:t>
      </w:r>
      <w:proofErr w:type="gramStart"/>
      <w:r w:rsidRPr="00C519C1">
        <w:t>them;</w:t>
      </w:r>
      <w:proofErr w:type="gramEnd"/>
    </w:p>
    <w:p w14:paraId="545EACA5" w14:textId="09CBBFA9" w:rsidR="003D4048" w:rsidRDefault="00000000">
      <w:pPr>
        <w:numPr>
          <w:ilvl w:val="0"/>
          <w:numId w:val="1"/>
        </w:numPr>
        <w:spacing w:after="0" w:line="372" w:lineRule="auto"/>
      </w:pPr>
      <w:r>
        <w:t xml:space="preserve">bear in mind the constitutional right of every citizen to seek, receive and impart information, conclude this Agreement on the grounds of Article 57, paragraph 1, item 24 of the Election Code in </w:t>
      </w:r>
    </w:p>
    <w:p w14:paraId="4F122582" w14:textId="77777777" w:rsidR="003D4048" w:rsidRDefault="00000000">
      <w:pPr>
        <w:ind w:left="-15" w:firstLine="0"/>
      </w:pPr>
      <w:r>
        <w:t xml:space="preserve">conjunction with Article 32. paragraph 1, item 22 of the Radio and Television Act. </w:t>
      </w:r>
    </w:p>
    <w:p w14:paraId="282E9680" w14:textId="4ADA1057" w:rsidR="004A510B" w:rsidRDefault="00000000" w:rsidP="004A510B">
      <w:pPr>
        <w:ind w:left="-15"/>
      </w:pPr>
      <w:r w:rsidRPr="00C82EC5">
        <w:rPr>
          <w:b/>
          <w:bCs/>
        </w:rPr>
        <w:t>Article 1. (1)</w:t>
      </w:r>
      <w:r>
        <w:t xml:space="preserve"> </w:t>
      </w:r>
      <w:r w:rsidR="004A510B" w:rsidRPr="004A510B">
        <w:t xml:space="preserve">The </w:t>
      </w:r>
      <w:r w:rsidR="004A510B">
        <w:t>A</w:t>
      </w:r>
      <w:r w:rsidR="004A510B" w:rsidRPr="004A510B">
        <w:t xml:space="preserve">greement defines the principles and parameters of the </w:t>
      </w:r>
      <w:proofErr w:type="spellStart"/>
      <w:r w:rsidR="004A510B" w:rsidRPr="004A510B">
        <w:t>specialised</w:t>
      </w:r>
      <w:proofErr w:type="spellEnd"/>
      <w:r w:rsidR="004A510B" w:rsidRPr="004A510B">
        <w:t xml:space="preserve"> monitoring that the Council for Electronic Media carries out during the electoral campaign for elections for members of the National Assembly.</w:t>
      </w:r>
    </w:p>
    <w:p w14:paraId="5AA58D32" w14:textId="77777777" w:rsidR="003D4048" w:rsidRDefault="00000000">
      <w:pPr>
        <w:ind w:left="-15"/>
      </w:pPr>
      <w:r w:rsidRPr="00C82EC5">
        <w:t>(2)</w:t>
      </w:r>
      <w:r>
        <w:t xml:space="preserve"> The agreement shall be based on the provisions of the Radio and Television Act. The rules for conducting the election campaign - Chapter Twelve of the Election Code, the recommendations of the Organization for Security and Cooperation in Europe (OSCE) for monitoring the </w:t>
      </w:r>
      <w:proofErr w:type="spellStart"/>
      <w:r>
        <w:t>behaviour</w:t>
      </w:r>
      <w:proofErr w:type="spellEnd"/>
      <w:r>
        <w:t xml:space="preserve"> of electronic media in the context of elections, the European experience as well as the practices of the Council for Electronic Media applied in monitoring other election campaigns. </w:t>
      </w:r>
    </w:p>
    <w:p w14:paraId="1C26A550" w14:textId="186CA49B" w:rsidR="003D4048" w:rsidRDefault="00000000">
      <w:pPr>
        <w:ind w:left="-15"/>
      </w:pPr>
      <w:r w:rsidRPr="00C82EC5">
        <w:rPr>
          <w:b/>
          <w:bCs/>
        </w:rPr>
        <w:t>Article 2. (1)</w:t>
      </w:r>
      <w:r>
        <w:t xml:space="preserve"> The monitoring aims to establish the compliance of the pre-election </w:t>
      </w:r>
      <w:proofErr w:type="spellStart"/>
      <w:r>
        <w:t>behaviour</w:t>
      </w:r>
      <w:proofErr w:type="spellEnd"/>
      <w:r>
        <w:t xml:space="preserve"> of the media content providers with the media and the election legislation during the conduct of </w:t>
      </w:r>
      <w:r w:rsidR="00AC326D">
        <w:t>the</w:t>
      </w:r>
      <w:r>
        <w:t xml:space="preserve"> campaign. </w:t>
      </w:r>
      <w:r w:rsidR="00AC326D">
        <w:t xml:space="preserve"> </w:t>
      </w:r>
      <w:r>
        <w:t xml:space="preserve">It will also cover the observance of basic professional standards and principles, the requirements for objectivity, equality and balance in the programs when presenting the political contenders and </w:t>
      </w:r>
      <w:proofErr w:type="gramStart"/>
      <w:r>
        <w:t>taking into account</w:t>
      </w:r>
      <w:proofErr w:type="gramEnd"/>
      <w:r>
        <w:t xml:space="preserve"> the diversity of opinions. </w:t>
      </w:r>
    </w:p>
    <w:p w14:paraId="11A0A1FE" w14:textId="77777777" w:rsidR="003D4048" w:rsidRDefault="00000000">
      <w:pPr>
        <w:numPr>
          <w:ilvl w:val="0"/>
          <w:numId w:val="2"/>
        </w:numPr>
        <w:ind w:firstLine="0"/>
      </w:pPr>
      <w:r>
        <w:t xml:space="preserve">In case of a violation of the rules of the election campaign, the Council for Electronic Media sends a signal to the Central Election Commission indicating the type of violation and its exact time parameters (hour, minute and second of the beginning and end of the violation).   </w:t>
      </w:r>
    </w:p>
    <w:p w14:paraId="5A733C07" w14:textId="77777777" w:rsidR="003D4048" w:rsidRDefault="00000000">
      <w:pPr>
        <w:numPr>
          <w:ilvl w:val="0"/>
          <w:numId w:val="2"/>
        </w:numPr>
        <w:ind w:firstLine="0"/>
      </w:pPr>
      <w:r>
        <w:t xml:space="preserve">The monitoring will </w:t>
      </w:r>
      <w:proofErr w:type="gramStart"/>
      <w:r>
        <w:t>take into account</w:t>
      </w:r>
      <w:proofErr w:type="gramEnd"/>
      <w:r>
        <w:t xml:space="preserve"> quantitative and qualitative indicators in the programs of the media service providers and the observance of the provisions of the Election Code in connection with the pre-election agitation and will make an analysis of the data. </w:t>
      </w:r>
    </w:p>
    <w:p w14:paraId="11D2BF93" w14:textId="77777777" w:rsidR="003D4048" w:rsidRDefault="00000000">
      <w:pPr>
        <w:numPr>
          <w:ilvl w:val="0"/>
          <w:numId w:val="2"/>
        </w:numPr>
        <w:ind w:firstLine="0"/>
      </w:pPr>
      <w:r>
        <w:t xml:space="preserve">The choice of programs included in the monitoring is based on the degree of their influence on public opinion. The territorial distribution, the specialization and the profile of the programs are </w:t>
      </w:r>
      <w:proofErr w:type="gramStart"/>
      <w:r>
        <w:t>taken into account</w:t>
      </w:r>
      <w:proofErr w:type="gramEnd"/>
      <w:r>
        <w:t xml:space="preserve">. </w:t>
      </w:r>
    </w:p>
    <w:p w14:paraId="5D0C1483" w14:textId="165EAA4C" w:rsidR="003D4048" w:rsidRDefault="00000000">
      <w:pPr>
        <w:numPr>
          <w:ilvl w:val="0"/>
          <w:numId w:val="2"/>
        </w:numPr>
        <w:ind w:firstLine="0"/>
      </w:pPr>
      <w:r>
        <w:t>The monitoring covers 1</w:t>
      </w:r>
      <w:r w:rsidR="001B0E96">
        <w:t>3</w:t>
      </w:r>
      <w:r>
        <w:t xml:space="preserve"> (</w:t>
      </w:r>
      <w:r w:rsidR="001B0E96">
        <w:t>t</w:t>
      </w:r>
      <w:r w:rsidR="001B0E96" w:rsidRPr="001B0E96">
        <w:t>hirteen</w:t>
      </w:r>
      <w:r>
        <w:t xml:space="preserve">) programs </w:t>
      </w:r>
      <w:r w:rsidR="001B0E96">
        <w:t>which are</w:t>
      </w:r>
      <w:r>
        <w:t xml:space="preserve"> created and provided for distribution by the national public media service providers the Bulgarian National Television (BNT) and the Bulgarian National Radio (BNR): </w:t>
      </w:r>
    </w:p>
    <w:p w14:paraId="337BC294" w14:textId="77777777" w:rsidR="003D4048" w:rsidRDefault="00000000">
      <w:pPr>
        <w:spacing w:after="0" w:line="259" w:lineRule="auto"/>
        <w:ind w:left="0" w:firstLine="0"/>
        <w:jc w:val="left"/>
      </w:pPr>
      <w:r>
        <w:lastRenderedPageBreak/>
        <w:t xml:space="preserve"> </w:t>
      </w:r>
    </w:p>
    <w:tbl>
      <w:tblPr>
        <w:tblStyle w:val="TableGrid"/>
        <w:tblW w:w="8059" w:type="dxa"/>
        <w:tblInd w:w="20" w:type="dxa"/>
        <w:tblCellMar>
          <w:top w:w="1" w:type="dxa"/>
        </w:tblCellMar>
        <w:tblLook w:val="04A0" w:firstRow="1" w:lastRow="0" w:firstColumn="1" w:lastColumn="0" w:noHBand="0" w:noVBand="1"/>
      </w:tblPr>
      <w:tblGrid>
        <w:gridCol w:w="3682"/>
        <w:gridCol w:w="4377"/>
      </w:tblGrid>
      <w:tr w:rsidR="003D4048" w14:paraId="7F551143" w14:textId="77777777">
        <w:trPr>
          <w:trHeight w:val="315"/>
        </w:trPr>
        <w:tc>
          <w:tcPr>
            <w:tcW w:w="3682" w:type="dxa"/>
            <w:tcBorders>
              <w:top w:val="nil"/>
              <w:left w:val="nil"/>
              <w:bottom w:val="nil"/>
              <w:right w:val="nil"/>
            </w:tcBorders>
          </w:tcPr>
          <w:p w14:paraId="2DE46B34" w14:textId="77777777" w:rsidR="003D4048" w:rsidRDefault="00000000">
            <w:pPr>
              <w:spacing w:after="0" w:line="259" w:lineRule="auto"/>
              <w:ind w:left="0" w:firstLine="0"/>
              <w:jc w:val="left"/>
            </w:pPr>
            <w:r>
              <w:t>1. BNT 1</w:t>
            </w:r>
            <w:r>
              <w:rPr>
                <w:rFonts w:ascii="Calibri" w:eastAsia="Calibri" w:hAnsi="Calibri" w:cs="Calibri"/>
              </w:rPr>
              <w:t xml:space="preserve"> </w:t>
            </w:r>
          </w:p>
        </w:tc>
        <w:tc>
          <w:tcPr>
            <w:tcW w:w="4377" w:type="dxa"/>
            <w:tcBorders>
              <w:top w:val="nil"/>
              <w:left w:val="nil"/>
              <w:bottom w:val="nil"/>
              <w:right w:val="nil"/>
            </w:tcBorders>
          </w:tcPr>
          <w:p w14:paraId="2EF16FA6" w14:textId="77777777" w:rsidR="003D4048" w:rsidRDefault="00000000">
            <w:pPr>
              <w:spacing w:after="0" w:line="259" w:lineRule="auto"/>
              <w:ind w:left="0" w:firstLine="0"/>
              <w:jc w:val="left"/>
            </w:pPr>
            <w:r>
              <w:t>8. RADIO VIDIN</w:t>
            </w:r>
            <w:r>
              <w:rPr>
                <w:rFonts w:ascii="Calibri" w:eastAsia="Calibri" w:hAnsi="Calibri" w:cs="Calibri"/>
              </w:rPr>
              <w:t xml:space="preserve"> </w:t>
            </w:r>
          </w:p>
        </w:tc>
      </w:tr>
      <w:tr w:rsidR="003D4048" w14:paraId="0C02806D" w14:textId="77777777">
        <w:trPr>
          <w:trHeight w:val="373"/>
        </w:trPr>
        <w:tc>
          <w:tcPr>
            <w:tcW w:w="3682" w:type="dxa"/>
            <w:tcBorders>
              <w:top w:val="nil"/>
              <w:left w:val="nil"/>
              <w:bottom w:val="nil"/>
              <w:right w:val="nil"/>
            </w:tcBorders>
          </w:tcPr>
          <w:p w14:paraId="7D842EFF" w14:textId="77777777" w:rsidR="003D4048" w:rsidRDefault="00000000">
            <w:pPr>
              <w:spacing w:after="0" w:line="259" w:lineRule="auto"/>
              <w:ind w:left="0" w:firstLine="0"/>
              <w:jc w:val="left"/>
            </w:pPr>
            <w:r>
              <w:t>2. BNT 2</w:t>
            </w:r>
            <w:r>
              <w:rPr>
                <w:rFonts w:ascii="Calibri" w:eastAsia="Calibri" w:hAnsi="Calibri" w:cs="Calibri"/>
              </w:rPr>
              <w:t xml:space="preserve"> </w:t>
            </w:r>
          </w:p>
        </w:tc>
        <w:tc>
          <w:tcPr>
            <w:tcW w:w="4377" w:type="dxa"/>
            <w:tcBorders>
              <w:top w:val="nil"/>
              <w:left w:val="nil"/>
              <w:bottom w:val="nil"/>
              <w:right w:val="nil"/>
            </w:tcBorders>
          </w:tcPr>
          <w:p w14:paraId="530BEFFC" w14:textId="77777777" w:rsidR="003D4048" w:rsidRDefault="00000000">
            <w:pPr>
              <w:spacing w:after="0" w:line="259" w:lineRule="auto"/>
              <w:ind w:left="0" w:firstLine="0"/>
              <w:jc w:val="left"/>
            </w:pPr>
            <w:r>
              <w:t xml:space="preserve">9. RADIO PLOVDIV </w:t>
            </w:r>
          </w:p>
        </w:tc>
      </w:tr>
      <w:tr w:rsidR="003D4048" w14:paraId="08B7F426" w14:textId="77777777">
        <w:trPr>
          <w:trHeight w:val="1827"/>
        </w:trPr>
        <w:tc>
          <w:tcPr>
            <w:tcW w:w="3682" w:type="dxa"/>
            <w:tcBorders>
              <w:top w:val="nil"/>
              <w:left w:val="nil"/>
              <w:bottom w:val="nil"/>
              <w:right w:val="nil"/>
            </w:tcBorders>
          </w:tcPr>
          <w:p w14:paraId="57057BF6" w14:textId="77777777" w:rsidR="003D4048" w:rsidRDefault="00000000">
            <w:pPr>
              <w:numPr>
                <w:ilvl w:val="0"/>
                <w:numId w:val="5"/>
              </w:numPr>
              <w:spacing w:after="108" w:line="259" w:lineRule="auto"/>
              <w:ind w:hanging="220"/>
              <w:jc w:val="left"/>
            </w:pPr>
            <w:r>
              <w:t xml:space="preserve">HORIZONT </w:t>
            </w:r>
          </w:p>
          <w:p w14:paraId="08716636" w14:textId="77777777" w:rsidR="003D4048" w:rsidRDefault="00000000">
            <w:pPr>
              <w:numPr>
                <w:ilvl w:val="0"/>
                <w:numId w:val="5"/>
              </w:numPr>
              <w:spacing w:after="113" w:line="259" w:lineRule="auto"/>
              <w:ind w:hanging="220"/>
              <w:jc w:val="left"/>
            </w:pPr>
            <w:r>
              <w:t xml:space="preserve">HRISTO BOTEV </w:t>
            </w:r>
          </w:p>
          <w:p w14:paraId="016AD0EE" w14:textId="77777777" w:rsidR="003D4048" w:rsidRDefault="00000000">
            <w:pPr>
              <w:numPr>
                <w:ilvl w:val="0"/>
                <w:numId w:val="5"/>
              </w:numPr>
              <w:spacing w:after="101" w:line="259" w:lineRule="auto"/>
              <w:ind w:hanging="220"/>
              <w:jc w:val="left"/>
            </w:pPr>
            <w:r>
              <w:t xml:space="preserve">RADIO BLAGOEVGRAD </w:t>
            </w:r>
          </w:p>
          <w:p w14:paraId="79DDED7C" w14:textId="77777777" w:rsidR="003D4048" w:rsidRDefault="00000000">
            <w:pPr>
              <w:numPr>
                <w:ilvl w:val="0"/>
                <w:numId w:val="5"/>
              </w:numPr>
              <w:spacing w:after="100" w:line="259" w:lineRule="auto"/>
              <w:ind w:hanging="220"/>
              <w:jc w:val="left"/>
            </w:pPr>
            <w:r>
              <w:t xml:space="preserve">RADIO BURGAS </w:t>
            </w:r>
          </w:p>
          <w:p w14:paraId="51ECA2A3" w14:textId="77777777" w:rsidR="003D4048" w:rsidRDefault="00000000">
            <w:pPr>
              <w:numPr>
                <w:ilvl w:val="0"/>
                <w:numId w:val="5"/>
              </w:numPr>
              <w:spacing w:after="0" w:line="259" w:lineRule="auto"/>
              <w:ind w:hanging="220"/>
              <w:jc w:val="left"/>
            </w:pPr>
            <w:r>
              <w:t xml:space="preserve">RADIO VARNA  </w:t>
            </w:r>
          </w:p>
        </w:tc>
        <w:tc>
          <w:tcPr>
            <w:tcW w:w="4377" w:type="dxa"/>
            <w:tcBorders>
              <w:top w:val="nil"/>
              <w:left w:val="nil"/>
              <w:bottom w:val="nil"/>
              <w:right w:val="nil"/>
            </w:tcBorders>
          </w:tcPr>
          <w:p w14:paraId="7E281E81" w14:textId="77777777" w:rsidR="003D4048" w:rsidRDefault="00000000">
            <w:pPr>
              <w:numPr>
                <w:ilvl w:val="0"/>
                <w:numId w:val="6"/>
              </w:numPr>
              <w:spacing w:after="100" w:line="259" w:lineRule="auto"/>
              <w:ind w:hanging="330"/>
              <w:jc w:val="left"/>
            </w:pPr>
            <w:r>
              <w:t xml:space="preserve">RADIO SOFIA  </w:t>
            </w:r>
          </w:p>
          <w:p w14:paraId="64272C27" w14:textId="77777777" w:rsidR="003D4048" w:rsidRDefault="00000000">
            <w:pPr>
              <w:numPr>
                <w:ilvl w:val="0"/>
                <w:numId w:val="6"/>
              </w:numPr>
              <w:spacing w:after="95" w:line="259" w:lineRule="auto"/>
              <w:ind w:hanging="330"/>
              <w:jc w:val="left"/>
            </w:pPr>
            <w:r>
              <w:t xml:space="preserve">RADIO STARA ZAGORA </w:t>
            </w:r>
          </w:p>
          <w:p w14:paraId="4DD5C695" w14:textId="77777777" w:rsidR="003D4048" w:rsidRDefault="00000000">
            <w:pPr>
              <w:numPr>
                <w:ilvl w:val="0"/>
                <w:numId w:val="6"/>
              </w:numPr>
              <w:spacing w:after="100" w:line="259" w:lineRule="auto"/>
              <w:ind w:hanging="330"/>
              <w:jc w:val="left"/>
            </w:pPr>
            <w:r>
              <w:t xml:space="preserve">RADIO SHUMEN  </w:t>
            </w:r>
          </w:p>
          <w:p w14:paraId="1D3029FB" w14:textId="77777777" w:rsidR="003D4048" w:rsidRDefault="00000000">
            <w:pPr>
              <w:numPr>
                <w:ilvl w:val="0"/>
                <w:numId w:val="6"/>
              </w:numPr>
              <w:spacing w:after="100" w:line="259" w:lineRule="auto"/>
              <w:ind w:hanging="330"/>
              <w:jc w:val="left"/>
            </w:pPr>
            <w:r>
              <w:t xml:space="preserve">BNR-RADIO KARDZHALI  </w:t>
            </w:r>
          </w:p>
          <w:p w14:paraId="5BC75295" w14:textId="629CF4A4" w:rsidR="003D4048" w:rsidRDefault="00000000" w:rsidP="00C6166C">
            <w:pPr>
              <w:spacing w:after="0" w:line="259" w:lineRule="auto"/>
              <w:ind w:left="0" w:firstLine="0"/>
              <w:jc w:val="left"/>
            </w:pPr>
            <w:r>
              <w:t xml:space="preserve"> </w:t>
            </w:r>
          </w:p>
        </w:tc>
      </w:tr>
    </w:tbl>
    <w:p w14:paraId="141E1D5D" w14:textId="77777777" w:rsidR="003D4048" w:rsidRDefault="00000000">
      <w:pPr>
        <w:spacing w:after="120" w:line="259" w:lineRule="auto"/>
        <w:ind w:left="711" w:firstLine="0"/>
        <w:jc w:val="left"/>
      </w:pPr>
      <w:r>
        <w:t xml:space="preserve"> </w:t>
      </w:r>
    </w:p>
    <w:p w14:paraId="62593E2B" w14:textId="47293587" w:rsidR="003D4048" w:rsidRDefault="00000000">
      <w:pPr>
        <w:numPr>
          <w:ilvl w:val="0"/>
          <w:numId w:val="2"/>
        </w:numPr>
        <w:ind w:firstLine="0"/>
      </w:pPr>
      <w:r>
        <w:t>The monitoring shall also cover 1</w:t>
      </w:r>
      <w:r w:rsidR="00E2482E">
        <w:t>1</w:t>
      </w:r>
      <w:r>
        <w:t xml:space="preserve"> (</w:t>
      </w:r>
      <w:r w:rsidR="00E2482E">
        <w:t>eleven</w:t>
      </w:r>
      <w:r>
        <w:t>) programs of commercial media service providers: 1</w:t>
      </w:r>
      <w:r w:rsidR="00E2482E">
        <w:t>0</w:t>
      </w:r>
      <w:r>
        <w:t xml:space="preserve"> (</w:t>
      </w:r>
      <w:r w:rsidR="00E2482E">
        <w:t>ten</w:t>
      </w:r>
      <w:r>
        <w:t xml:space="preserve">) television and </w:t>
      </w:r>
      <w:r w:rsidR="00943E75">
        <w:t>1</w:t>
      </w:r>
      <w:r>
        <w:t xml:space="preserve"> (</w:t>
      </w:r>
      <w:r w:rsidR="00943E75">
        <w:t>one</w:t>
      </w:r>
      <w:r>
        <w:t xml:space="preserve">) radio programs. </w:t>
      </w:r>
    </w:p>
    <w:p w14:paraId="14B2D91B" w14:textId="77777777" w:rsidR="003D4048" w:rsidRDefault="00000000">
      <w:pPr>
        <w:spacing w:after="0" w:line="259" w:lineRule="auto"/>
        <w:ind w:left="711" w:firstLine="0"/>
        <w:jc w:val="left"/>
      </w:pPr>
      <w:r>
        <w:t xml:space="preserve"> </w:t>
      </w:r>
    </w:p>
    <w:tbl>
      <w:tblPr>
        <w:tblStyle w:val="TableGrid"/>
        <w:tblW w:w="7038" w:type="dxa"/>
        <w:tblInd w:w="20" w:type="dxa"/>
        <w:tblCellMar>
          <w:top w:w="1" w:type="dxa"/>
        </w:tblCellMar>
        <w:tblLook w:val="04A0" w:firstRow="1" w:lastRow="0" w:firstColumn="1" w:lastColumn="0" w:noHBand="0" w:noVBand="1"/>
      </w:tblPr>
      <w:tblGrid>
        <w:gridCol w:w="3432"/>
        <w:gridCol w:w="3606"/>
      </w:tblGrid>
      <w:tr w:rsidR="003D4048" w14:paraId="05AD2FC8" w14:textId="77777777">
        <w:trPr>
          <w:trHeight w:val="688"/>
        </w:trPr>
        <w:tc>
          <w:tcPr>
            <w:tcW w:w="3432" w:type="dxa"/>
            <w:tcBorders>
              <w:top w:val="nil"/>
              <w:left w:val="nil"/>
              <w:bottom w:val="nil"/>
              <w:right w:val="nil"/>
            </w:tcBorders>
          </w:tcPr>
          <w:p w14:paraId="2C3FA059" w14:textId="2EF18FAB" w:rsidR="003D4048" w:rsidRDefault="00000000">
            <w:pPr>
              <w:numPr>
                <w:ilvl w:val="0"/>
                <w:numId w:val="7"/>
              </w:numPr>
              <w:spacing w:after="98" w:line="259" w:lineRule="auto"/>
              <w:ind w:hanging="285"/>
              <w:jc w:val="left"/>
            </w:pPr>
            <w:r>
              <w:t>BTV</w:t>
            </w:r>
            <w:r>
              <w:rPr>
                <w:rFonts w:ascii="Calibri" w:eastAsia="Calibri" w:hAnsi="Calibri" w:cs="Calibri"/>
              </w:rPr>
              <w:t xml:space="preserve"> </w:t>
            </w:r>
            <w:r w:rsidR="00AD5788">
              <w:rPr>
                <w:rFonts w:ascii="Calibri" w:eastAsia="Calibri" w:hAnsi="Calibri" w:cs="Calibri"/>
              </w:rPr>
              <w:t xml:space="preserve">                                                       </w:t>
            </w:r>
          </w:p>
          <w:p w14:paraId="1FF7515F" w14:textId="77777777" w:rsidR="003D4048" w:rsidRDefault="00000000">
            <w:pPr>
              <w:numPr>
                <w:ilvl w:val="0"/>
                <w:numId w:val="7"/>
              </w:numPr>
              <w:spacing w:after="0" w:line="259" w:lineRule="auto"/>
              <w:ind w:hanging="285"/>
              <w:jc w:val="left"/>
            </w:pPr>
            <w:r>
              <w:t>NOVA TV</w:t>
            </w:r>
            <w:r>
              <w:rPr>
                <w:rFonts w:ascii="Calibri" w:eastAsia="Calibri" w:hAnsi="Calibri" w:cs="Calibri"/>
              </w:rPr>
              <w:t xml:space="preserve"> </w:t>
            </w:r>
          </w:p>
        </w:tc>
        <w:tc>
          <w:tcPr>
            <w:tcW w:w="3606" w:type="dxa"/>
            <w:tcBorders>
              <w:top w:val="nil"/>
              <w:left w:val="nil"/>
              <w:bottom w:val="nil"/>
              <w:right w:val="nil"/>
            </w:tcBorders>
          </w:tcPr>
          <w:p w14:paraId="6DF97796" w14:textId="325B2284" w:rsidR="003D4048" w:rsidRDefault="00AD5788" w:rsidP="00AD5788">
            <w:pPr>
              <w:pStyle w:val="ListParagraph"/>
              <w:numPr>
                <w:ilvl w:val="0"/>
                <w:numId w:val="8"/>
              </w:numPr>
              <w:spacing w:after="98" w:line="259" w:lineRule="auto"/>
              <w:jc w:val="left"/>
            </w:pPr>
            <w:r>
              <w:t xml:space="preserve"> EVROKOM</w:t>
            </w:r>
            <w:r w:rsidRPr="00AD5788">
              <w:rPr>
                <w:rFonts w:ascii="Calibri" w:eastAsia="Calibri" w:hAnsi="Calibri" w:cs="Calibri"/>
              </w:rPr>
              <w:t xml:space="preserve"> </w:t>
            </w:r>
          </w:p>
          <w:p w14:paraId="166D99AD" w14:textId="78758E4A" w:rsidR="003D4048" w:rsidRDefault="00AD5788">
            <w:pPr>
              <w:numPr>
                <w:ilvl w:val="0"/>
                <w:numId w:val="8"/>
              </w:numPr>
              <w:spacing w:after="0" w:line="259" w:lineRule="auto"/>
              <w:ind w:hanging="330"/>
              <w:jc w:val="left"/>
            </w:pPr>
            <w:r>
              <w:t xml:space="preserve"> 7/8 TV</w:t>
            </w:r>
            <w:r>
              <w:rPr>
                <w:rFonts w:ascii="Calibri" w:eastAsia="Calibri" w:hAnsi="Calibri" w:cs="Calibri"/>
              </w:rPr>
              <w:t xml:space="preserve"> </w:t>
            </w:r>
          </w:p>
        </w:tc>
      </w:tr>
      <w:tr w:rsidR="003D4048" w14:paraId="2791EF38" w14:textId="77777777">
        <w:trPr>
          <w:trHeight w:val="373"/>
        </w:trPr>
        <w:tc>
          <w:tcPr>
            <w:tcW w:w="3432" w:type="dxa"/>
            <w:tcBorders>
              <w:top w:val="nil"/>
              <w:left w:val="nil"/>
              <w:bottom w:val="nil"/>
              <w:right w:val="nil"/>
            </w:tcBorders>
          </w:tcPr>
          <w:p w14:paraId="600ECC65" w14:textId="77777777" w:rsidR="003D4048" w:rsidRDefault="00000000">
            <w:pPr>
              <w:spacing w:after="0" w:line="259" w:lineRule="auto"/>
              <w:ind w:left="0" w:firstLine="0"/>
              <w:jc w:val="left"/>
            </w:pPr>
            <w:r>
              <w:t>3.</w:t>
            </w:r>
            <w:r>
              <w:rPr>
                <w:rFonts w:ascii="Calibri" w:eastAsia="Calibri" w:hAnsi="Calibri" w:cs="Calibri"/>
              </w:rPr>
              <w:t xml:space="preserve"> </w:t>
            </w:r>
            <w:r>
              <w:t xml:space="preserve">NOVA NEWS (television) </w:t>
            </w:r>
          </w:p>
        </w:tc>
        <w:tc>
          <w:tcPr>
            <w:tcW w:w="3606" w:type="dxa"/>
            <w:tcBorders>
              <w:top w:val="nil"/>
              <w:left w:val="nil"/>
              <w:bottom w:val="nil"/>
              <w:right w:val="nil"/>
            </w:tcBorders>
          </w:tcPr>
          <w:p w14:paraId="32C41622" w14:textId="339D5F58" w:rsidR="003D4048" w:rsidRDefault="001A1F02" w:rsidP="001A1F02">
            <w:pPr>
              <w:spacing w:after="0" w:line="259" w:lineRule="auto"/>
              <w:ind w:left="0" w:firstLine="0"/>
              <w:jc w:val="left"/>
            </w:pPr>
            <w:r>
              <w:rPr>
                <w:lang w:val="bg-BG"/>
              </w:rPr>
              <w:t xml:space="preserve">          </w:t>
            </w:r>
            <w:r w:rsidR="00AD5788">
              <w:t xml:space="preserve">10. </w:t>
            </w:r>
            <w:r>
              <w:t xml:space="preserve">TV1 </w:t>
            </w:r>
          </w:p>
        </w:tc>
      </w:tr>
      <w:tr w:rsidR="003D4048" w14:paraId="393021EC" w14:textId="77777777">
        <w:trPr>
          <w:trHeight w:val="375"/>
        </w:trPr>
        <w:tc>
          <w:tcPr>
            <w:tcW w:w="3432" w:type="dxa"/>
            <w:tcBorders>
              <w:top w:val="nil"/>
              <w:left w:val="nil"/>
              <w:bottom w:val="nil"/>
              <w:right w:val="nil"/>
            </w:tcBorders>
          </w:tcPr>
          <w:p w14:paraId="2492FB28" w14:textId="77777777" w:rsidR="003D4048" w:rsidRDefault="00000000">
            <w:pPr>
              <w:spacing w:after="0" w:line="259" w:lineRule="auto"/>
              <w:ind w:left="0" w:firstLine="0"/>
              <w:jc w:val="left"/>
            </w:pPr>
            <w:r>
              <w:t>4.</w:t>
            </w:r>
            <w:r>
              <w:rPr>
                <w:rFonts w:ascii="Calibri" w:eastAsia="Calibri" w:hAnsi="Calibri" w:cs="Calibri"/>
              </w:rPr>
              <w:t xml:space="preserve"> </w:t>
            </w:r>
            <w:r>
              <w:t>BULGARIA ON AIR</w:t>
            </w:r>
            <w:r>
              <w:rPr>
                <w:rFonts w:ascii="Calibri" w:eastAsia="Calibri" w:hAnsi="Calibri" w:cs="Calibri"/>
              </w:rPr>
              <w:t xml:space="preserve"> </w:t>
            </w:r>
          </w:p>
        </w:tc>
        <w:tc>
          <w:tcPr>
            <w:tcW w:w="3606" w:type="dxa"/>
            <w:tcBorders>
              <w:top w:val="nil"/>
              <w:left w:val="nil"/>
              <w:bottom w:val="nil"/>
              <w:right w:val="nil"/>
            </w:tcBorders>
          </w:tcPr>
          <w:p w14:paraId="35B9EFC5" w14:textId="0C31490C" w:rsidR="003D4048" w:rsidRDefault="00000000">
            <w:pPr>
              <w:spacing w:after="0" w:line="259" w:lineRule="auto"/>
              <w:ind w:left="0" w:right="64" w:firstLine="0"/>
              <w:jc w:val="right"/>
            </w:pPr>
            <w:r>
              <w:t>1</w:t>
            </w:r>
            <w:r w:rsidR="00AD5788">
              <w:t xml:space="preserve">1. </w:t>
            </w:r>
            <w:r>
              <w:t xml:space="preserve"> DARIK RADIO BULGARIA </w:t>
            </w:r>
          </w:p>
        </w:tc>
      </w:tr>
      <w:tr w:rsidR="003D4048" w14:paraId="31A28B06" w14:textId="77777777">
        <w:trPr>
          <w:trHeight w:val="383"/>
        </w:trPr>
        <w:tc>
          <w:tcPr>
            <w:tcW w:w="3432" w:type="dxa"/>
            <w:tcBorders>
              <w:top w:val="nil"/>
              <w:left w:val="nil"/>
              <w:bottom w:val="nil"/>
              <w:right w:val="nil"/>
            </w:tcBorders>
          </w:tcPr>
          <w:p w14:paraId="06922DE9" w14:textId="77777777" w:rsidR="003D4048" w:rsidRDefault="00000000">
            <w:pPr>
              <w:spacing w:after="0" w:line="259" w:lineRule="auto"/>
              <w:ind w:left="0" w:firstLine="0"/>
              <w:jc w:val="left"/>
            </w:pPr>
            <w:r>
              <w:rPr>
                <w:rFonts w:ascii="Calibri" w:eastAsia="Calibri" w:hAnsi="Calibri" w:cs="Calibri"/>
              </w:rPr>
              <w:t xml:space="preserve">5. </w:t>
            </w:r>
            <w:r>
              <w:t>TV EURONEWS BULGARIA</w:t>
            </w:r>
            <w:r>
              <w:rPr>
                <w:rFonts w:ascii="Calibri" w:eastAsia="Calibri" w:hAnsi="Calibri" w:cs="Calibri"/>
              </w:rPr>
              <w:t xml:space="preserve"> </w:t>
            </w:r>
          </w:p>
        </w:tc>
        <w:tc>
          <w:tcPr>
            <w:tcW w:w="3606" w:type="dxa"/>
            <w:tcBorders>
              <w:top w:val="nil"/>
              <w:left w:val="nil"/>
              <w:bottom w:val="nil"/>
              <w:right w:val="nil"/>
            </w:tcBorders>
          </w:tcPr>
          <w:p w14:paraId="30F7E896" w14:textId="2470784B" w:rsidR="003D4048" w:rsidRDefault="003D4048">
            <w:pPr>
              <w:spacing w:after="0" w:line="259" w:lineRule="auto"/>
              <w:ind w:left="11" w:firstLine="0"/>
              <w:jc w:val="center"/>
            </w:pPr>
          </w:p>
        </w:tc>
      </w:tr>
      <w:tr w:rsidR="003D4048" w14:paraId="34AF526C" w14:textId="77777777">
        <w:trPr>
          <w:trHeight w:val="388"/>
        </w:trPr>
        <w:tc>
          <w:tcPr>
            <w:tcW w:w="3432" w:type="dxa"/>
            <w:tcBorders>
              <w:top w:val="nil"/>
              <w:left w:val="nil"/>
              <w:bottom w:val="nil"/>
              <w:right w:val="nil"/>
            </w:tcBorders>
          </w:tcPr>
          <w:p w14:paraId="43BC386D" w14:textId="77777777" w:rsidR="003D4048" w:rsidRDefault="00000000">
            <w:pPr>
              <w:spacing w:after="0" w:line="259" w:lineRule="auto"/>
              <w:ind w:left="0" w:firstLine="0"/>
              <w:jc w:val="left"/>
            </w:pPr>
            <w:r>
              <w:t>6.</w:t>
            </w:r>
            <w:r>
              <w:rPr>
                <w:rFonts w:ascii="Calibri" w:eastAsia="Calibri" w:hAnsi="Calibri" w:cs="Calibri"/>
              </w:rPr>
              <w:t xml:space="preserve"> </w:t>
            </w:r>
            <w:r>
              <w:t>SCAT</w:t>
            </w:r>
            <w:r>
              <w:rPr>
                <w:rFonts w:ascii="Calibri" w:eastAsia="Calibri" w:hAnsi="Calibri" w:cs="Calibri"/>
              </w:rPr>
              <w:t xml:space="preserve"> </w:t>
            </w:r>
          </w:p>
        </w:tc>
        <w:tc>
          <w:tcPr>
            <w:tcW w:w="3606" w:type="dxa"/>
            <w:tcBorders>
              <w:top w:val="nil"/>
              <w:left w:val="nil"/>
              <w:bottom w:val="nil"/>
              <w:right w:val="nil"/>
            </w:tcBorders>
          </w:tcPr>
          <w:p w14:paraId="26CD7FDF" w14:textId="77777777" w:rsidR="003D4048" w:rsidRDefault="00000000">
            <w:pPr>
              <w:spacing w:after="0" w:line="259" w:lineRule="auto"/>
              <w:ind w:left="581" w:firstLine="0"/>
              <w:jc w:val="left"/>
            </w:pPr>
            <w:r>
              <w:rPr>
                <w:rFonts w:ascii="Calibri" w:eastAsia="Calibri" w:hAnsi="Calibri" w:cs="Calibri"/>
              </w:rPr>
              <w:t xml:space="preserve"> </w:t>
            </w:r>
          </w:p>
        </w:tc>
      </w:tr>
      <w:tr w:rsidR="003D4048" w14:paraId="0828F8DF" w14:textId="77777777">
        <w:trPr>
          <w:trHeight w:val="380"/>
        </w:trPr>
        <w:tc>
          <w:tcPr>
            <w:tcW w:w="3432" w:type="dxa"/>
            <w:tcBorders>
              <w:top w:val="nil"/>
              <w:left w:val="nil"/>
              <w:bottom w:val="nil"/>
              <w:right w:val="nil"/>
            </w:tcBorders>
          </w:tcPr>
          <w:p w14:paraId="29C24963" w14:textId="3777B3F7" w:rsidR="003D4048" w:rsidRDefault="00000000">
            <w:pPr>
              <w:spacing w:after="0" w:line="259" w:lineRule="auto"/>
              <w:ind w:left="0" w:firstLine="0"/>
              <w:jc w:val="left"/>
              <w:rPr>
                <w:rFonts w:ascii="Calibri" w:eastAsia="Calibri" w:hAnsi="Calibri" w:cs="Calibri"/>
              </w:rPr>
            </w:pPr>
            <w:r>
              <w:t>7.</w:t>
            </w:r>
            <w:r>
              <w:rPr>
                <w:rFonts w:ascii="Calibri" w:eastAsia="Calibri" w:hAnsi="Calibri" w:cs="Calibri"/>
              </w:rPr>
              <w:t xml:space="preserve"> </w:t>
            </w:r>
            <w:r>
              <w:t>BULGARIA 24</w:t>
            </w:r>
            <w:r>
              <w:rPr>
                <w:rFonts w:ascii="Calibri" w:eastAsia="Calibri" w:hAnsi="Calibri" w:cs="Calibri"/>
              </w:rPr>
              <w:t xml:space="preserve"> </w:t>
            </w:r>
          </w:p>
          <w:p w14:paraId="44F9CCDB" w14:textId="77777777" w:rsidR="00AD5788" w:rsidRDefault="00AD5788">
            <w:pPr>
              <w:spacing w:after="0" w:line="259" w:lineRule="auto"/>
              <w:ind w:left="0" w:firstLine="0"/>
              <w:jc w:val="left"/>
            </w:pPr>
          </w:p>
        </w:tc>
        <w:tc>
          <w:tcPr>
            <w:tcW w:w="3606" w:type="dxa"/>
            <w:tcBorders>
              <w:top w:val="nil"/>
              <w:left w:val="nil"/>
              <w:bottom w:val="nil"/>
              <w:right w:val="nil"/>
            </w:tcBorders>
          </w:tcPr>
          <w:p w14:paraId="3E34BC4F" w14:textId="77777777" w:rsidR="003D4048" w:rsidRDefault="00000000">
            <w:pPr>
              <w:spacing w:after="0" w:line="259" w:lineRule="auto"/>
              <w:ind w:left="581" w:firstLine="0"/>
              <w:jc w:val="left"/>
            </w:pPr>
            <w:r>
              <w:t xml:space="preserve"> </w:t>
            </w:r>
          </w:p>
        </w:tc>
      </w:tr>
      <w:tr w:rsidR="003D4048" w14:paraId="0068A05D" w14:textId="77777777">
        <w:trPr>
          <w:trHeight w:val="320"/>
        </w:trPr>
        <w:tc>
          <w:tcPr>
            <w:tcW w:w="3432" w:type="dxa"/>
            <w:tcBorders>
              <w:top w:val="nil"/>
              <w:left w:val="nil"/>
              <w:bottom w:val="nil"/>
              <w:right w:val="nil"/>
            </w:tcBorders>
          </w:tcPr>
          <w:p w14:paraId="26E03225" w14:textId="044AF526" w:rsidR="003D4048" w:rsidRDefault="003D4048">
            <w:pPr>
              <w:spacing w:after="0" w:line="259" w:lineRule="auto"/>
              <w:ind w:left="0" w:firstLine="0"/>
              <w:jc w:val="left"/>
            </w:pPr>
          </w:p>
        </w:tc>
        <w:tc>
          <w:tcPr>
            <w:tcW w:w="3606" w:type="dxa"/>
            <w:tcBorders>
              <w:top w:val="nil"/>
              <w:left w:val="nil"/>
              <w:bottom w:val="nil"/>
              <w:right w:val="nil"/>
            </w:tcBorders>
          </w:tcPr>
          <w:p w14:paraId="01F07296" w14:textId="77777777" w:rsidR="003D4048" w:rsidRDefault="00000000">
            <w:pPr>
              <w:spacing w:after="0" w:line="259" w:lineRule="auto"/>
              <w:ind w:left="581" w:firstLine="0"/>
              <w:jc w:val="left"/>
            </w:pPr>
            <w:r>
              <w:rPr>
                <w:rFonts w:ascii="Calibri" w:eastAsia="Calibri" w:hAnsi="Calibri" w:cs="Calibri"/>
              </w:rPr>
              <w:t xml:space="preserve"> </w:t>
            </w:r>
          </w:p>
        </w:tc>
      </w:tr>
    </w:tbl>
    <w:p w14:paraId="48DCC849" w14:textId="3C6599CA" w:rsidR="003D4048" w:rsidRDefault="003D4048">
      <w:pPr>
        <w:spacing w:after="100" w:line="259" w:lineRule="auto"/>
        <w:ind w:left="0" w:firstLine="0"/>
        <w:jc w:val="left"/>
      </w:pPr>
    </w:p>
    <w:p w14:paraId="1A5B3B7B" w14:textId="1B89A497" w:rsidR="008C18FA" w:rsidRDefault="008C18FA">
      <w:pPr>
        <w:numPr>
          <w:ilvl w:val="0"/>
          <w:numId w:val="2"/>
        </w:numPr>
        <w:ind w:firstLine="0"/>
      </w:pPr>
      <w:r w:rsidRPr="008C18FA">
        <w:t xml:space="preserve">The Council for Electronic Media </w:t>
      </w:r>
      <w:r w:rsidR="00E06A03">
        <w:t xml:space="preserve">will </w:t>
      </w:r>
      <w:r w:rsidRPr="008C18FA">
        <w:t xml:space="preserve">also monitor </w:t>
      </w:r>
      <w:proofErr w:type="spellStart"/>
      <w:r w:rsidRPr="008C18FA">
        <w:t>programmes</w:t>
      </w:r>
      <w:proofErr w:type="spellEnd"/>
      <w:r w:rsidRPr="008C18FA">
        <w:t xml:space="preserve"> outside those described in the Agreement in cases where this is necessary - in the event of complaints, alerts or self-referrals.</w:t>
      </w:r>
    </w:p>
    <w:p w14:paraId="21E2C249" w14:textId="75481F5A" w:rsidR="00957E19" w:rsidRDefault="00957E19" w:rsidP="00957E19">
      <w:pPr>
        <w:numPr>
          <w:ilvl w:val="0"/>
          <w:numId w:val="2"/>
        </w:numPr>
        <w:ind w:firstLine="0"/>
      </w:pPr>
      <w:r>
        <w:t>The Council for Electronic Media</w:t>
      </w:r>
      <w:r w:rsidR="00E06A03">
        <w:t xml:space="preserve"> will</w:t>
      </w:r>
      <w:r>
        <w:t xml:space="preserve"> also monitor on-demand services and video-sharing platform services where necessary - in the event of complaints, signals, complaints, or self-referrals. </w:t>
      </w:r>
    </w:p>
    <w:p w14:paraId="09861A77" w14:textId="20D265FD" w:rsidR="00D506AE" w:rsidRDefault="00D506AE" w:rsidP="00D506AE">
      <w:pPr>
        <w:numPr>
          <w:ilvl w:val="0"/>
          <w:numId w:val="2"/>
        </w:numPr>
        <w:ind w:firstLine="0"/>
      </w:pPr>
      <w:r>
        <w:t xml:space="preserve">Part of those specified in paragraph </w:t>
      </w:r>
      <w:r w:rsidR="008045AA">
        <w:t>5</w:t>
      </w:r>
      <w:r>
        <w:t xml:space="preserve"> and paragraph </w:t>
      </w:r>
      <w:r w:rsidR="008045AA">
        <w:t>6</w:t>
      </w:r>
      <w:r>
        <w:t xml:space="preserve"> programs, in which no pre-election activity is observed will be monitored according to the course of the pre-election campaign and the information from the contracts announced on the sites of the suppliers according to Article 180 of the Election Code. </w:t>
      </w:r>
    </w:p>
    <w:p w14:paraId="5A176C10" w14:textId="63D042E8" w:rsidR="00957E19" w:rsidRDefault="00BE15F1" w:rsidP="006C5FD2">
      <w:pPr>
        <w:numPr>
          <w:ilvl w:val="0"/>
          <w:numId w:val="2"/>
        </w:numPr>
        <w:ind w:firstLine="0"/>
      </w:pPr>
      <w:r>
        <w:t xml:space="preserve">The monitoring will also include monitoring the observance of the provision under </w:t>
      </w:r>
      <w:proofErr w:type="spellStart"/>
      <w:r>
        <w:t>Artticle</w:t>
      </w:r>
      <w:proofErr w:type="spellEnd"/>
      <w:r>
        <w:t xml:space="preserve"> 198. paragraph 5 of the Election Code, obliging media service providers to announce the tariffs for coverage of the election campaign on their website no later than 40 days before the election day. The inspection will cover the media service providers registered and licensed by the Council for Electronic Media. </w:t>
      </w:r>
    </w:p>
    <w:p w14:paraId="06149098" w14:textId="08AA06B4" w:rsidR="004434D1" w:rsidRDefault="00000000" w:rsidP="004434D1">
      <w:pPr>
        <w:ind w:left="-15"/>
      </w:pPr>
      <w:r w:rsidRPr="00C82EC5">
        <w:rPr>
          <w:b/>
          <w:bCs/>
        </w:rPr>
        <w:t>Article 3. (1)</w:t>
      </w:r>
      <w:r>
        <w:t xml:space="preserve"> </w:t>
      </w:r>
      <w:r w:rsidR="004434D1" w:rsidRPr="004434D1">
        <w:t xml:space="preserve">The </w:t>
      </w:r>
      <w:r w:rsidR="00E815D9">
        <w:t>A</w:t>
      </w:r>
      <w:r w:rsidR="004434D1" w:rsidRPr="004434D1">
        <w:t xml:space="preserve">greement regulates the hourly monitoring of each </w:t>
      </w:r>
      <w:proofErr w:type="spellStart"/>
      <w:r w:rsidR="004434D1" w:rsidRPr="004434D1">
        <w:t>programme</w:t>
      </w:r>
      <w:proofErr w:type="spellEnd"/>
      <w:r w:rsidR="004434D1" w:rsidRPr="004434D1">
        <w:t xml:space="preserve"> for each day of the election period. The start date of the monitoring shall be </w:t>
      </w:r>
      <w:r w:rsidR="00E57319">
        <w:t>27 September</w:t>
      </w:r>
      <w:r w:rsidR="004434D1" w:rsidRPr="004434D1">
        <w:t xml:space="preserve"> 2024 and shall continue up to and including </w:t>
      </w:r>
      <w:r w:rsidR="00E57319">
        <w:t>27 October</w:t>
      </w:r>
      <w:r w:rsidR="004434D1" w:rsidRPr="004434D1">
        <w:t xml:space="preserve"> 2024.</w:t>
      </w:r>
    </w:p>
    <w:p w14:paraId="6498E93E" w14:textId="77777777" w:rsidR="003D4048" w:rsidRDefault="00000000">
      <w:pPr>
        <w:numPr>
          <w:ilvl w:val="0"/>
          <w:numId w:val="3"/>
        </w:numPr>
      </w:pPr>
      <w:r>
        <w:t xml:space="preserve">The time of the daily observation period shall comply with all the media programming schemes, but also with the recommendations of the OSCE. The Council for Electronic Media will implement the monitoring in the time zones from 06:30 to 09:30 and from 16:00 to 22:30 for television programs and from 07:00 to 11:00 and from 17:00 to 19:00 for radio programs. For the programs of the Bulgarian </w:t>
      </w:r>
      <w:r>
        <w:lastRenderedPageBreak/>
        <w:t xml:space="preserve">National Television and the Bulgarian National Radio will monitor the implementation of the Agreements concluded </w:t>
      </w:r>
      <w:proofErr w:type="gramStart"/>
      <w:r>
        <w:t>on the basis of</w:t>
      </w:r>
      <w:proofErr w:type="gramEnd"/>
      <w:r>
        <w:t xml:space="preserve"> Article 189, paragraph 4 of the Election Code. </w:t>
      </w:r>
    </w:p>
    <w:p w14:paraId="5938D6B3" w14:textId="77777777" w:rsidR="003D4048" w:rsidRDefault="00000000">
      <w:pPr>
        <w:numPr>
          <w:ilvl w:val="0"/>
          <w:numId w:val="3"/>
        </w:numPr>
      </w:pPr>
      <w:r>
        <w:t xml:space="preserve">The set program time may be changed but necessary upon ascertainment of updating of a respective program scheme of the media and possible inclusion of agitation materials in another program time as well. </w:t>
      </w:r>
    </w:p>
    <w:p w14:paraId="74916F6F" w14:textId="55B27664" w:rsidR="003D4048" w:rsidRDefault="00000000">
      <w:pPr>
        <w:ind w:left="-15"/>
      </w:pPr>
      <w:r w:rsidRPr="0066147A">
        <w:rPr>
          <w:b/>
          <w:bCs/>
        </w:rPr>
        <w:t>Article 4.</w:t>
      </w:r>
      <w:r>
        <w:t xml:space="preserve"> (1) The parameters of the monitoring shall be in accordance with the norms of the Radio and Television Act and the Election Code and with the recommendations of OSCE. </w:t>
      </w:r>
    </w:p>
    <w:p w14:paraId="0A6CF06F" w14:textId="77777777" w:rsidR="003D4048" w:rsidRDefault="00000000">
      <w:pPr>
        <w:numPr>
          <w:ilvl w:val="0"/>
          <w:numId w:val="4"/>
        </w:numPr>
      </w:pPr>
      <w:r>
        <w:t xml:space="preserve">The monitoring parameters are the same for the programs of public and commercial media service providers. For the Bulgarian National Radio and the Bulgarian National Television, additional parameters are envisaged, related to the reporting of their specific obligations. </w:t>
      </w:r>
    </w:p>
    <w:p w14:paraId="10509696" w14:textId="77777777" w:rsidR="003D4048" w:rsidRDefault="00000000">
      <w:pPr>
        <w:numPr>
          <w:ilvl w:val="0"/>
          <w:numId w:val="4"/>
        </w:numPr>
      </w:pPr>
      <w:r>
        <w:t xml:space="preserve">The monitoring will </w:t>
      </w:r>
      <w:proofErr w:type="gramStart"/>
      <w:r>
        <w:t>take into account</w:t>
      </w:r>
      <w:proofErr w:type="gramEnd"/>
      <w:r>
        <w:t xml:space="preserve"> the share of paid and free forms of agitation as well as the presence of candidates in the media. For data analysis, a methodology adopted by the Council for Electronic Media will be applied, </w:t>
      </w:r>
      <w:proofErr w:type="gramStart"/>
      <w:r>
        <w:t>taking into account</w:t>
      </w:r>
      <w:proofErr w:type="gramEnd"/>
      <w:r>
        <w:t xml:space="preserve">: the influence of the media, the programming of the pre-election forms and the different genres used in covering the campaign. </w:t>
      </w:r>
    </w:p>
    <w:p w14:paraId="7EADBE2C" w14:textId="77777777" w:rsidR="003D4048" w:rsidRDefault="00000000">
      <w:pPr>
        <w:numPr>
          <w:ilvl w:val="0"/>
          <w:numId w:val="4"/>
        </w:numPr>
      </w:pPr>
      <w:r>
        <w:t xml:space="preserve">The monitoring will also </w:t>
      </w:r>
      <w:proofErr w:type="gramStart"/>
      <w:r>
        <w:t>take into account</w:t>
      </w:r>
      <w:proofErr w:type="gramEnd"/>
      <w:r>
        <w:t xml:space="preserve"> the opportunities provided by the media for the perception of the election campaign messages and access to the respective program for persons with hearing and visual impairments: the use of specialized subtitles. sign language, audio description, audio subtitles, etc. </w:t>
      </w:r>
    </w:p>
    <w:p w14:paraId="6A659B56" w14:textId="51D0A490" w:rsidR="003D4048" w:rsidRDefault="00000000">
      <w:pPr>
        <w:ind w:left="-15"/>
      </w:pPr>
      <w:r w:rsidRPr="0066147A">
        <w:rPr>
          <w:b/>
          <w:bCs/>
        </w:rPr>
        <w:t>Article 5.</w:t>
      </w:r>
      <w:r>
        <w:t xml:space="preserve"> In the programs of the Bulgarian National Radio and the Bulgarian National Television the monitoring will monitor the implementation of the provisions of</w:t>
      </w:r>
      <w:r w:rsidR="008A696B" w:rsidRPr="008A696B">
        <w:t xml:space="preserve"> the Electoral Code</w:t>
      </w:r>
      <w:r>
        <w:t xml:space="preserve"> regarding the two national public providers as well as the observance of the imperative obligation to reflect the different ideas and beliefs in society through pluralism of views in the publicist programs with political and economic themes according to Article 6, paragraph 3, item 6 of RTA. </w:t>
      </w:r>
    </w:p>
    <w:p w14:paraId="57052E19" w14:textId="77777777" w:rsidR="003D4048" w:rsidRDefault="00000000">
      <w:pPr>
        <w:ind w:left="-15"/>
      </w:pPr>
      <w:r w:rsidRPr="00027747">
        <w:rPr>
          <w:b/>
          <w:bCs/>
        </w:rPr>
        <w:t>Article 6.</w:t>
      </w:r>
      <w:r>
        <w:t xml:space="preserve"> The Council for Electronic Media, after discussion with the Central Election</w:t>
      </w:r>
      <w:r>
        <w:rPr>
          <w:b/>
        </w:rPr>
        <w:t xml:space="preserve"> </w:t>
      </w:r>
      <w:r>
        <w:t xml:space="preserve">Commission, will present a report on the results of the observation of the election campaign within four weeks after the end of the elections. The report will also be published on the website of CEM. </w:t>
      </w:r>
    </w:p>
    <w:p w14:paraId="7CC65895" w14:textId="77777777" w:rsidR="003D4048" w:rsidRDefault="00000000">
      <w:pPr>
        <w:spacing w:after="98" w:line="259" w:lineRule="auto"/>
        <w:ind w:left="0" w:firstLine="0"/>
        <w:jc w:val="left"/>
      </w:pPr>
      <w:r>
        <w:rPr>
          <w:rFonts w:ascii="Palatino Linotype" w:eastAsia="Palatino Linotype" w:hAnsi="Palatino Linotype" w:cs="Palatino Linotype"/>
          <w:i/>
          <w:sz w:val="19"/>
        </w:rPr>
        <w:t xml:space="preserve"> </w:t>
      </w:r>
    </w:p>
    <w:p w14:paraId="604154B9" w14:textId="77777777" w:rsidR="003D4048" w:rsidRDefault="00000000">
      <w:pPr>
        <w:spacing w:after="136" w:line="259" w:lineRule="auto"/>
        <w:ind w:left="0" w:firstLine="0"/>
        <w:jc w:val="left"/>
      </w:pPr>
      <w:r>
        <w:rPr>
          <w:rFonts w:ascii="Palatino Linotype" w:eastAsia="Palatino Linotype" w:hAnsi="Palatino Linotype" w:cs="Palatino Linotype"/>
          <w:i/>
          <w:sz w:val="19"/>
        </w:rPr>
        <w:t xml:space="preserve"> </w:t>
      </w:r>
    </w:p>
    <w:p w14:paraId="455C1C24" w14:textId="77777777" w:rsidR="003D4048" w:rsidRDefault="00000000">
      <w:pPr>
        <w:spacing w:after="83" w:line="259" w:lineRule="auto"/>
        <w:ind w:left="-5" w:hanging="10"/>
        <w:jc w:val="left"/>
      </w:pPr>
      <w:r>
        <w:rPr>
          <w:b/>
        </w:rPr>
        <w:t xml:space="preserve">For the CENTRAL </w:t>
      </w:r>
      <w:r>
        <w:rPr>
          <w:b/>
          <w:sz w:val="24"/>
        </w:rPr>
        <w:t>ELECTION</w:t>
      </w:r>
      <w:r>
        <w:rPr>
          <w:b/>
        </w:rPr>
        <w:t xml:space="preserve"> COMMISSION </w:t>
      </w:r>
    </w:p>
    <w:p w14:paraId="79B0703C" w14:textId="77777777" w:rsidR="003D4048" w:rsidRDefault="00000000">
      <w:pPr>
        <w:spacing w:after="132" w:line="259" w:lineRule="auto"/>
        <w:ind w:left="-5" w:hanging="10"/>
        <w:jc w:val="left"/>
      </w:pPr>
      <w:r>
        <w:rPr>
          <w:b/>
        </w:rPr>
        <w:t xml:space="preserve">CHAIRPERSON:  &lt;Signature&gt; </w:t>
      </w:r>
    </w:p>
    <w:p w14:paraId="00CEA1DD" w14:textId="77777777" w:rsidR="003D4048" w:rsidRDefault="00000000">
      <w:pPr>
        <w:spacing w:after="135" w:line="259" w:lineRule="auto"/>
        <w:ind w:left="0" w:firstLine="0"/>
        <w:jc w:val="left"/>
      </w:pPr>
      <w:proofErr w:type="spellStart"/>
      <w:r>
        <w:rPr>
          <w:b/>
          <w:color w:val="333333"/>
        </w:rPr>
        <w:t>Kameliya</w:t>
      </w:r>
      <w:proofErr w:type="spellEnd"/>
      <w:r>
        <w:rPr>
          <w:b/>
          <w:color w:val="333333"/>
        </w:rPr>
        <w:t xml:space="preserve"> </w:t>
      </w:r>
      <w:proofErr w:type="spellStart"/>
      <w:r>
        <w:rPr>
          <w:b/>
          <w:color w:val="333333"/>
        </w:rPr>
        <w:t>Neykova</w:t>
      </w:r>
      <w:proofErr w:type="spellEnd"/>
      <w:r>
        <w:rPr>
          <w:b/>
          <w:color w:val="333333"/>
        </w:rPr>
        <w:t xml:space="preserve"> </w:t>
      </w:r>
    </w:p>
    <w:p w14:paraId="12245CB3" w14:textId="77777777" w:rsidR="003D4048" w:rsidRDefault="00000000">
      <w:pPr>
        <w:spacing w:after="135" w:line="259" w:lineRule="auto"/>
        <w:ind w:left="0" w:firstLine="0"/>
        <w:jc w:val="left"/>
      </w:pPr>
      <w:r>
        <w:rPr>
          <w:b/>
        </w:rPr>
        <w:t xml:space="preserve"> </w:t>
      </w:r>
    </w:p>
    <w:p w14:paraId="18050876" w14:textId="77777777" w:rsidR="003D4048" w:rsidRDefault="00000000">
      <w:pPr>
        <w:spacing w:after="95" w:line="259" w:lineRule="auto"/>
        <w:ind w:left="-5" w:hanging="10"/>
        <w:jc w:val="left"/>
      </w:pPr>
      <w:r>
        <w:rPr>
          <w:b/>
        </w:rPr>
        <w:t xml:space="preserve">For the COUNCIL FOR ELECTRONIC MEDIA  </w:t>
      </w:r>
    </w:p>
    <w:p w14:paraId="14225626" w14:textId="77777777" w:rsidR="003D4048" w:rsidRDefault="00000000">
      <w:pPr>
        <w:spacing w:after="132" w:line="259" w:lineRule="auto"/>
        <w:ind w:left="-5" w:hanging="10"/>
        <w:jc w:val="left"/>
      </w:pPr>
      <w:r>
        <w:rPr>
          <w:b/>
        </w:rPr>
        <w:t xml:space="preserve">CHAIRPERSON: &lt;Signature&gt; </w:t>
      </w:r>
    </w:p>
    <w:p w14:paraId="044F9F47" w14:textId="6A9EBD27" w:rsidR="003D4048" w:rsidRPr="00290F4C" w:rsidRDefault="008A696B">
      <w:pPr>
        <w:spacing w:after="132" w:line="259" w:lineRule="auto"/>
        <w:ind w:left="-5" w:hanging="10"/>
        <w:jc w:val="left"/>
        <w:rPr>
          <w:lang w:val="bg-BG"/>
        </w:rPr>
      </w:pPr>
      <w:r>
        <w:rPr>
          <w:b/>
        </w:rPr>
        <w:t xml:space="preserve">Gabriela </w:t>
      </w:r>
      <w:proofErr w:type="spellStart"/>
      <w:r>
        <w:rPr>
          <w:b/>
        </w:rPr>
        <w:t>Naplatanova</w:t>
      </w:r>
      <w:proofErr w:type="spellEnd"/>
      <w:r>
        <w:rPr>
          <w:b/>
        </w:rPr>
        <w:t xml:space="preserve">, PhD – </w:t>
      </w:r>
      <w:r w:rsidR="00027747">
        <w:rPr>
          <w:b/>
        </w:rPr>
        <w:t>acting</w:t>
      </w:r>
      <w:r>
        <w:rPr>
          <w:b/>
        </w:rPr>
        <w:t xml:space="preserve"> chairperson  </w:t>
      </w:r>
    </w:p>
    <w:sectPr w:rsidR="003D4048" w:rsidRPr="00290F4C">
      <w:pgSz w:w="11905" w:h="16840"/>
      <w:pgMar w:top="1425" w:right="1411" w:bottom="1508" w:left="141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35691E"/>
    <w:multiLevelType w:val="hybridMultilevel"/>
    <w:tmpl w:val="F90E4418"/>
    <w:lvl w:ilvl="0" w:tplc="AABC81FA">
      <w:start w:val="10"/>
      <w:numFmt w:val="decimal"/>
      <w:lvlText w:val="%1."/>
      <w:lvlJc w:val="left"/>
      <w:pPr>
        <w:ind w:left="3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522DDB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5068B1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FC88B6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D484D7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4C0D97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4A6D65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D20F09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9263CF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0177D82"/>
    <w:multiLevelType w:val="hybridMultilevel"/>
    <w:tmpl w:val="7B804C90"/>
    <w:lvl w:ilvl="0" w:tplc="B7105592">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85E2474">
      <w:start w:val="1"/>
      <w:numFmt w:val="bullet"/>
      <w:lvlText w:val="o"/>
      <w:lvlJc w:val="left"/>
      <w:pPr>
        <w:ind w:left="14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E8E7E04">
      <w:start w:val="1"/>
      <w:numFmt w:val="bullet"/>
      <w:lvlText w:val="▪"/>
      <w:lvlJc w:val="left"/>
      <w:pPr>
        <w:ind w:left="21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5B684A4">
      <w:start w:val="1"/>
      <w:numFmt w:val="bullet"/>
      <w:lvlText w:val="•"/>
      <w:lvlJc w:val="left"/>
      <w:pPr>
        <w:ind w:left="28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20E1392">
      <w:start w:val="1"/>
      <w:numFmt w:val="bullet"/>
      <w:lvlText w:val="o"/>
      <w:lvlJc w:val="left"/>
      <w:pPr>
        <w:ind w:left="36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EE264C4">
      <w:start w:val="1"/>
      <w:numFmt w:val="bullet"/>
      <w:lvlText w:val="▪"/>
      <w:lvlJc w:val="left"/>
      <w:pPr>
        <w:ind w:left="43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8801944">
      <w:start w:val="1"/>
      <w:numFmt w:val="bullet"/>
      <w:lvlText w:val="•"/>
      <w:lvlJc w:val="left"/>
      <w:pPr>
        <w:ind w:left="50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C80864E">
      <w:start w:val="1"/>
      <w:numFmt w:val="bullet"/>
      <w:lvlText w:val="o"/>
      <w:lvlJc w:val="left"/>
      <w:pPr>
        <w:ind w:left="57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356D8C6">
      <w:start w:val="1"/>
      <w:numFmt w:val="bullet"/>
      <w:lvlText w:val="▪"/>
      <w:lvlJc w:val="left"/>
      <w:pPr>
        <w:ind w:left="64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0546519"/>
    <w:multiLevelType w:val="hybridMultilevel"/>
    <w:tmpl w:val="559CAE56"/>
    <w:lvl w:ilvl="0" w:tplc="A6D272D0">
      <w:start w:val="2"/>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D34E076">
      <w:start w:val="1"/>
      <w:numFmt w:val="lowerLetter"/>
      <w:lvlText w:val="%2"/>
      <w:lvlJc w:val="left"/>
      <w:pPr>
        <w:ind w:left="14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1829EC6">
      <w:start w:val="1"/>
      <w:numFmt w:val="lowerRoman"/>
      <w:lvlText w:val="%3"/>
      <w:lvlJc w:val="left"/>
      <w:pPr>
        <w:ind w:left="21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1D4DF24">
      <w:start w:val="1"/>
      <w:numFmt w:val="decimal"/>
      <w:lvlText w:val="%4"/>
      <w:lvlJc w:val="left"/>
      <w:pPr>
        <w:ind w:left="28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44CE066">
      <w:start w:val="1"/>
      <w:numFmt w:val="lowerLetter"/>
      <w:lvlText w:val="%5"/>
      <w:lvlJc w:val="left"/>
      <w:pPr>
        <w:ind w:left="36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A24C4D6">
      <w:start w:val="1"/>
      <w:numFmt w:val="lowerRoman"/>
      <w:lvlText w:val="%6"/>
      <w:lvlJc w:val="left"/>
      <w:pPr>
        <w:ind w:left="43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33A37FA">
      <w:start w:val="1"/>
      <w:numFmt w:val="decimal"/>
      <w:lvlText w:val="%7"/>
      <w:lvlJc w:val="left"/>
      <w:pPr>
        <w:ind w:left="50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AE87EF8">
      <w:start w:val="1"/>
      <w:numFmt w:val="lowerLetter"/>
      <w:lvlText w:val="%8"/>
      <w:lvlJc w:val="left"/>
      <w:pPr>
        <w:ind w:left="57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5D4F8A8">
      <w:start w:val="1"/>
      <w:numFmt w:val="lowerRoman"/>
      <w:lvlText w:val="%9"/>
      <w:lvlJc w:val="left"/>
      <w:pPr>
        <w:ind w:left="64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89C76A8"/>
    <w:multiLevelType w:val="hybridMultilevel"/>
    <w:tmpl w:val="EF205B06"/>
    <w:lvl w:ilvl="0" w:tplc="395004D2">
      <w:start w:val="2"/>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D8093CE">
      <w:start w:val="1"/>
      <w:numFmt w:val="lowerLetter"/>
      <w:lvlText w:val="%2"/>
      <w:lvlJc w:val="left"/>
      <w:pPr>
        <w:ind w:left="14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D1C39F4">
      <w:start w:val="1"/>
      <w:numFmt w:val="lowerRoman"/>
      <w:lvlText w:val="%3"/>
      <w:lvlJc w:val="left"/>
      <w:pPr>
        <w:ind w:left="22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42259D8">
      <w:start w:val="1"/>
      <w:numFmt w:val="decimal"/>
      <w:lvlText w:val="%4"/>
      <w:lvlJc w:val="left"/>
      <w:pPr>
        <w:ind w:left="29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BDCC2A8">
      <w:start w:val="1"/>
      <w:numFmt w:val="lowerLetter"/>
      <w:lvlText w:val="%5"/>
      <w:lvlJc w:val="left"/>
      <w:pPr>
        <w:ind w:left="36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B8EEC2E">
      <w:start w:val="1"/>
      <w:numFmt w:val="lowerRoman"/>
      <w:lvlText w:val="%6"/>
      <w:lvlJc w:val="left"/>
      <w:pPr>
        <w:ind w:left="43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FC46A2A">
      <w:start w:val="1"/>
      <w:numFmt w:val="decimal"/>
      <w:lvlText w:val="%7"/>
      <w:lvlJc w:val="left"/>
      <w:pPr>
        <w:ind w:left="50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F749326">
      <w:start w:val="1"/>
      <w:numFmt w:val="lowerLetter"/>
      <w:lvlText w:val="%8"/>
      <w:lvlJc w:val="left"/>
      <w:pPr>
        <w:ind w:left="58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5EE5DF2">
      <w:start w:val="1"/>
      <w:numFmt w:val="lowerRoman"/>
      <w:lvlText w:val="%9"/>
      <w:lvlJc w:val="left"/>
      <w:pPr>
        <w:ind w:left="6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9604D9D"/>
    <w:multiLevelType w:val="hybridMultilevel"/>
    <w:tmpl w:val="BBF4EFF6"/>
    <w:lvl w:ilvl="0" w:tplc="3EB6181A">
      <w:start w:val="8"/>
      <w:numFmt w:val="decimal"/>
      <w:lvlText w:val="%1."/>
      <w:lvlJc w:val="left"/>
      <w:pPr>
        <w:ind w:left="9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A4671D4">
      <w:start w:val="1"/>
      <w:numFmt w:val="lowerLetter"/>
      <w:lvlText w:val="%2"/>
      <w:lvlJc w:val="left"/>
      <w:pPr>
        <w:ind w:left="16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ECA5312">
      <w:start w:val="1"/>
      <w:numFmt w:val="lowerRoman"/>
      <w:lvlText w:val="%3"/>
      <w:lvlJc w:val="left"/>
      <w:pPr>
        <w:ind w:left="23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09CAF5A">
      <w:start w:val="1"/>
      <w:numFmt w:val="decimal"/>
      <w:lvlText w:val="%4"/>
      <w:lvlJc w:val="left"/>
      <w:pPr>
        <w:ind w:left="31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F4C28FA">
      <w:start w:val="1"/>
      <w:numFmt w:val="lowerLetter"/>
      <w:lvlText w:val="%5"/>
      <w:lvlJc w:val="left"/>
      <w:pPr>
        <w:ind w:left="38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6523146">
      <w:start w:val="1"/>
      <w:numFmt w:val="lowerRoman"/>
      <w:lvlText w:val="%6"/>
      <w:lvlJc w:val="left"/>
      <w:pPr>
        <w:ind w:left="45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18C1A2A">
      <w:start w:val="1"/>
      <w:numFmt w:val="decimal"/>
      <w:lvlText w:val="%7"/>
      <w:lvlJc w:val="left"/>
      <w:pPr>
        <w:ind w:left="52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FE238E4">
      <w:start w:val="1"/>
      <w:numFmt w:val="lowerLetter"/>
      <w:lvlText w:val="%8"/>
      <w:lvlJc w:val="left"/>
      <w:pPr>
        <w:ind w:left="59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9B8C212">
      <w:start w:val="1"/>
      <w:numFmt w:val="lowerRoman"/>
      <w:lvlText w:val="%9"/>
      <w:lvlJc w:val="left"/>
      <w:pPr>
        <w:ind w:left="67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C0677F4"/>
    <w:multiLevelType w:val="hybridMultilevel"/>
    <w:tmpl w:val="322E757E"/>
    <w:lvl w:ilvl="0" w:tplc="DA36F032">
      <w:start w:val="1"/>
      <w:numFmt w:val="decimal"/>
      <w:lvlText w:val="%1."/>
      <w:lvlJc w:val="left"/>
      <w:pPr>
        <w:ind w:left="2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0FEDC7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74C752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7D452C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13413F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E16E39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34E568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A92C88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69CCA1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5893264"/>
    <w:multiLevelType w:val="hybridMultilevel"/>
    <w:tmpl w:val="C518BA4A"/>
    <w:lvl w:ilvl="0" w:tplc="5DAC07BA">
      <w:start w:val="2"/>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160DB92">
      <w:start w:val="1"/>
      <w:numFmt w:val="lowerLetter"/>
      <w:lvlText w:val="%2"/>
      <w:lvlJc w:val="left"/>
      <w:pPr>
        <w:ind w:left="14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2B84516">
      <w:start w:val="1"/>
      <w:numFmt w:val="lowerRoman"/>
      <w:lvlText w:val="%3"/>
      <w:lvlJc w:val="left"/>
      <w:pPr>
        <w:ind w:left="21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C66BF76">
      <w:start w:val="1"/>
      <w:numFmt w:val="decimal"/>
      <w:lvlText w:val="%4"/>
      <w:lvlJc w:val="left"/>
      <w:pPr>
        <w:ind w:left="28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0F65408">
      <w:start w:val="1"/>
      <w:numFmt w:val="lowerLetter"/>
      <w:lvlText w:val="%5"/>
      <w:lvlJc w:val="left"/>
      <w:pPr>
        <w:ind w:left="36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51CFF62">
      <w:start w:val="1"/>
      <w:numFmt w:val="lowerRoman"/>
      <w:lvlText w:val="%6"/>
      <w:lvlJc w:val="left"/>
      <w:pPr>
        <w:ind w:left="43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5FE2BA6">
      <w:start w:val="1"/>
      <w:numFmt w:val="decimal"/>
      <w:lvlText w:val="%7"/>
      <w:lvlJc w:val="left"/>
      <w:pPr>
        <w:ind w:left="50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1CC2988">
      <w:start w:val="1"/>
      <w:numFmt w:val="lowerLetter"/>
      <w:lvlText w:val="%8"/>
      <w:lvlJc w:val="left"/>
      <w:pPr>
        <w:ind w:left="57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4EC3C06">
      <w:start w:val="1"/>
      <w:numFmt w:val="lowerRoman"/>
      <w:lvlText w:val="%9"/>
      <w:lvlJc w:val="left"/>
      <w:pPr>
        <w:ind w:left="64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C1C60F0"/>
    <w:multiLevelType w:val="hybridMultilevel"/>
    <w:tmpl w:val="3DFC4B4C"/>
    <w:lvl w:ilvl="0" w:tplc="364ED35A">
      <w:start w:val="3"/>
      <w:numFmt w:val="decimal"/>
      <w:lvlText w:val="%1."/>
      <w:lvlJc w:val="left"/>
      <w:pPr>
        <w:ind w:left="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63EE33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748723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028164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9C6FC1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A94FB1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19A0A7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700C08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85EE5C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808932298">
    <w:abstractNumId w:val="1"/>
  </w:num>
  <w:num w:numId="2" w16cid:durableId="662926615">
    <w:abstractNumId w:val="3"/>
  </w:num>
  <w:num w:numId="3" w16cid:durableId="449668523">
    <w:abstractNumId w:val="2"/>
  </w:num>
  <w:num w:numId="4" w16cid:durableId="559679598">
    <w:abstractNumId w:val="6"/>
  </w:num>
  <w:num w:numId="5" w16cid:durableId="1655061229">
    <w:abstractNumId w:val="7"/>
  </w:num>
  <w:num w:numId="6" w16cid:durableId="59599221">
    <w:abstractNumId w:val="0"/>
  </w:num>
  <w:num w:numId="7" w16cid:durableId="372703448">
    <w:abstractNumId w:val="5"/>
  </w:num>
  <w:num w:numId="8" w16cid:durableId="12979521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048"/>
    <w:rsid w:val="00027747"/>
    <w:rsid w:val="00041F3B"/>
    <w:rsid w:val="00094C90"/>
    <w:rsid w:val="001233C2"/>
    <w:rsid w:val="001A1F02"/>
    <w:rsid w:val="001A52F6"/>
    <w:rsid w:val="001B0E96"/>
    <w:rsid w:val="001E1D8E"/>
    <w:rsid w:val="00290F4C"/>
    <w:rsid w:val="00292D83"/>
    <w:rsid w:val="003D4048"/>
    <w:rsid w:val="004434D1"/>
    <w:rsid w:val="004A510B"/>
    <w:rsid w:val="0066147A"/>
    <w:rsid w:val="006C35D9"/>
    <w:rsid w:val="006C5FD2"/>
    <w:rsid w:val="008045AA"/>
    <w:rsid w:val="00875A45"/>
    <w:rsid w:val="00876C47"/>
    <w:rsid w:val="00884B55"/>
    <w:rsid w:val="008A696B"/>
    <w:rsid w:val="008C18FA"/>
    <w:rsid w:val="00943E75"/>
    <w:rsid w:val="00957E19"/>
    <w:rsid w:val="009C6DF3"/>
    <w:rsid w:val="00A95DAD"/>
    <w:rsid w:val="00AA4D9F"/>
    <w:rsid w:val="00AC326D"/>
    <w:rsid w:val="00AD5788"/>
    <w:rsid w:val="00AF1070"/>
    <w:rsid w:val="00B047D7"/>
    <w:rsid w:val="00BB3594"/>
    <w:rsid w:val="00BE15F1"/>
    <w:rsid w:val="00C519C1"/>
    <w:rsid w:val="00C57CEB"/>
    <w:rsid w:val="00C6166C"/>
    <w:rsid w:val="00C82EC5"/>
    <w:rsid w:val="00CC239E"/>
    <w:rsid w:val="00D20657"/>
    <w:rsid w:val="00D506AE"/>
    <w:rsid w:val="00DD7BA4"/>
    <w:rsid w:val="00E06A03"/>
    <w:rsid w:val="00E2482E"/>
    <w:rsid w:val="00E57319"/>
    <w:rsid w:val="00E815D9"/>
    <w:rsid w:val="00F10CEF"/>
    <w:rsid w:val="00F86453"/>
    <w:rsid w:val="00F90085"/>
    <w:rsid w:val="00FB0F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0E933"/>
  <w15:docId w15:val="{7A34FAFB-ADBB-4436-BC40-02B7A123B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9" w:line="263" w:lineRule="auto"/>
      <w:ind w:left="361" w:firstLine="351"/>
      <w:jc w:val="both"/>
    </w:pPr>
    <w:rPr>
      <w:rFonts w:ascii="Times New Roman" w:eastAsia="Times New Roman" w:hAnsi="Times New Roman" w:cs="Times New Roman"/>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AD57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1202</Words>
  <Characters>6856</Characters>
  <Application>Microsoft Office Word</Application>
  <DocSecurity>0</DocSecurity>
  <Lines>57</Lines>
  <Paragraphs>16</Paragraphs>
  <ScaleCrop>false</ScaleCrop>
  <Company/>
  <LinksUpToDate>false</LinksUpToDate>
  <CharactersWithSpaces>8042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Emilia Staneva</dc:creator>
  <cp:keywords/>
  <cp:lastModifiedBy>Tsvetana Doncheva</cp:lastModifiedBy>
  <cp:revision>2</cp:revision>
  <cp:lastPrinted>2024-09-26T08:43:00Z</cp:lastPrinted>
  <dcterms:created xsi:type="dcterms:W3CDTF">2024-09-27T06:16:00Z</dcterms:created>
  <dcterms:modified xsi:type="dcterms:W3CDTF">2024-09-27T06:16:00Z</dcterms:modified>
</cp:coreProperties>
</file>